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07" w:rsidRPr="00170107" w:rsidRDefault="00917C66" w:rsidP="00170107">
      <w:pPr>
        <w:shd w:val="clear" w:color="auto" w:fill="FFFFFF"/>
        <w:spacing w:before="100" w:beforeAutospacing="1" w:after="100" w:afterAutospacing="1" w:line="270" w:lineRule="atLeast"/>
        <w:jc w:val="both"/>
        <w:rPr>
          <w:rFonts w:ascii="Tahoma" w:eastAsia="Times New Roman" w:hAnsi="Tahoma" w:cs="Tahoma"/>
          <w:b/>
          <w:sz w:val="20"/>
          <w:szCs w:val="20"/>
          <w:lang w:val="es-ES" w:eastAsia="es-CL"/>
        </w:rPr>
      </w:pPr>
      <w:r w:rsidRPr="00170107">
        <w:rPr>
          <w:rFonts w:ascii="Tahoma" w:eastAsia="Times New Roman" w:hAnsi="Tahoma" w:cs="Tahoma"/>
          <w:b/>
          <w:sz w:val="20"/>
          <w:szCs w:val="20"/>
          <w:lang w:val="es-ES" w:eastAsia="es-CL"/>
        </w:rPr>
        <w:t>La atmósfera se divide en diversas capas:</w:t>
      </w:r>
    </w:p>
    <w:p w:rsidR="00170107" w:rsidRDefault="00917C66" w:rsidP="00170107">
      <w:pPr>
        <w:shd w:val="clear" w:color="auto" w:fill="FFFFFF"/>
        <w:spacing w:before="100" w:beforeAutospacing="1" w:after="100" w:afterAutospacing="1" w:line="270" w:lineRule="atLeast"/>
        <w:jc w:val="both"/>
        <w:rPr>
          <w:rFonts w:ascii="Tahoma" w:eastAsia="Times New Roman" w:hAnsi="Tahoma" w:cs="Tahoma"/>
          <w:sz w:val="20"/>
          <w:szCs w:val="20"/>
          <w:lang w:val="es-ES" w:eastAsia="es-CL"/>
        </w:rPr>
      </w:pPr>
      <w:r w:rsidRPr="00917C66">
        <w:rPr>
          <w:rFonts w:ascii="Tahoma" w:eastAsia="Times New Roman" w:hAnsi="Tahoma" w:cs="Tahoma"/>
          <w:sz w:val="20"/>
          <w:szCs w:val="20"/>
          <w:lang w:val="es-ES" w:eastAsia="es-CL"/>
        </w:rPr>
        <w:t xml:space="preserve">La </w:t>
      </w:r>
      <w:r w:rsidRPr="00917C66">
        <w:rPr>
          <w:rFonts w:ascii="Tahoma" w:eastAsia="Times New Roman" w:hAnsi="Tahoma" w:cs="Tahoma"/>
          <w:b/>
          <w:bCs/>
          <w:sz w:val="20"/>
          <w:szCs w:val="20"/>
          <w:lang w:val="es-ES" w:eastAsia="es-CL"/>
        </w:rPr>
        <w:t>troposfera</w:t>
      </w:r>
      <w:r w:rsidRPr="00917C66">
        <w:rPr>
          <w:rFonts w:ascii="Tahoma" w:eastAsia="Times New Roman" w:hAnsi="Tahoma" w:cs="Tahoma"/>
          <w:sz w:val="20"/>
          <w:szCs w:val="20"/>
          <w:lang w:val="es-ES" w:eastAsia="es-CL"/>
        </w:rPr>
        <w:t xml:space="preserve"> llega hasta un límite superior (tropopausa) </w:t>
      </w:r>
      <w:r w:rsidRPr="00170107">
        <w:rPr>
          <w:rFonts w:ascii="Tahoma" w:eastAsia="Times New Roman" w:hAnsi="Tahoma" w:cs="Tahoma"/>
          <w:b/>
          <w:sz w:val="20"/>
          <w:szCs w:val="20"/>
          <w:lang w:val="es-ES" w:eastAsia="es-CL"/>
        </w:rPr>
        <w:t>situado a 9 Km de altura en los polos y los 18 km en el ecuador.</w:t>
      </w:r>
      <w:r w:rsidRPr="00917C66">
        <w:rPr>
          <w:rFonts w:ascii="Tahoma" w:eastAsia="Times New Roman" w:hAnsi="Tahoma" w:cs="Tahoma"/>
          <w:sz w:val="20"/>
          <w:szCs w:val="20"/>
          <w:lang w:val="es-ES" w:eastAsia="es-CL"/>
        </w:rPr>
        <w:t xml:space="preserve"> En ella se producen importantes movimientos verticales y horizontales de las masas de aire (vientos) y hay relativa abundancia de agua. Es la zona de las nubes y los fenómenos climáticos: lluvias, v</w:t>
      </w:r>
      <w:r w:rsidR="00170107">
        <w:rPr>
          <w:rFonts w:ascii="Tahoma" w:eastAsia="Times New Roman" w:hAnsi="Tahoma" w:cs="Tahoma"/>
          <w:sz w:val="20"/>
          <w:szCs w:val="20"/>
          <w:lang w:val="es-ES" w:eastAsia="es-CL"/>
        </w:rPr>
        <w:t>ientos, cambios de temperatura</w:t>
      </w:r>
      <w:r w:rsidRPr="00917C66">
        <w:rPr>
          <w:rFonts w:ascii="Tahoma" w:eastAsia="Times New Roman" w:hAnsi="Tahoma" w:cs="Tahoma"/>
          <w:sz w:val="20"/>
          <w:szCs w:val="20"/>
          <w:lang w:val="es-ES" w:eastAsia="es-CL"/>
        </w:rPr>
        <w:t xml:space="preserve"> y la capa de más interés para la ecología. La temperatura va disminuyendo conforme se va subiendo, hasta llegar a -70ºC en su límite superior.</w:t>
      </w:r>
    </w:p>
    <w:p w:rsidR="00170107" w:rsidRDefault="00917C66" w:rsidP="00170107">
      <w:pPr>
        <w:shd w:val="clear" w:color="auto" w:fill="FFFFFF"/>
        <w:spacing w:before="100" w:beforeAutospacing="1" w:after="100" w:afterAutospacing="1" w:line="270" w:lineRule="atLeast"/>
        <w:jc w:val="both"/>
        <w:rPr>
          <w:rFonts w:ascii="Tahoma" w:eastAsia="Times New Roman" w:hAnsi="Tahoma" w:cs="Tahoma"/>
          <w:sz w:val="20"/>
          <w:szCs w:val="20"/>
          <w:lang w:val="es-ES" w:eastAsia="es-CL"/>
        </w:rPr>
      </w:pPr>
      <w:r w:rsidRPr="00917C66">
        <w:rPr>
          <w:rFonts w:ascii="Tahoma" w:eastAsia="Times New Roman" w:hAnsi="Tahoma" w:cs="Tahoma"/>
          <w:sz w:val="20"/>
          <w:szCs w:val="20"/>
          <w:lang w:val="es-ES" w:eastAsia="es-CL"/>
        </w:rPr>
        <w:t xml:space="preserve">La </w:t>
      </w:r>
      <w:r w:rsidRPr="00917C66">
        <w:rPr>
          <w:rFonts w:ascii="Tahoma" w:eastAsia="Times New Roman" w:hAnsi="Tahoma" w:cs="Tahoma"/>
          <w:b/>
          <w:bCs/>
          <w:sz w:val="20"/>
          <w:szCs w:val="20"/>
          <w:lang w:val="es-ES" w:eastAsia="es-CL"/>
        </w:rPr>
        <w:t>estratosfera</w:t>
      </w:r>
      <w:r w:rsidRPr="00917C66">
        <w:rPr>
          <w:rFonts w:ascii="Tahoma" w:eastAsia="Times New Roman" w:hAnsi="Tahoma" w:cs="Tahoma"/>
          <w:sz w:val="20"/>
          <w:szCs w:val="20"/>
          <w:lang w:val="es-ES" w:eastAsia="es-CL"/>
        </w:rPr>
        <w:t xml:space="preserve"> comienza a partir de la tropopausa </w:t>
      </w:r>
      <w:r w:rsidRPr="00170107">
        <w:rPr>
          <w:rFonts w:ascii="Tahoma" w:eastAsia="Times New Roman" w:hAnsi="Tahoma" w:cs="Tahoma"/>
          <w:b/>
          <w:sz w:val="20"/>
          <w:szCs w:val="20"/>
          <w:lang w:val="es-ES" w:eastAsia="es-CL"/>
        </w:rPr>
        <w:t>y llega hasta un límite superior (estratopausa), a 50 km de altitud</w:t>
      </w:r>
      <w:r w:rsidRPr="00917C66">
        <w:rPr>
          <w:rFonts w:ascii="Tahoma" w:eastAsia="Times New Roman" w:hAnsi="Tahoma" w:cs="Tahoma"/>
          <w:sz w:val="20"/>
          <w:szCs w:val="20"/>
          <w:lang w:val="es-ES" w:eastAsia="es-CL"/>
        </w:rPr>
        <w:t>. La temperatura cambia su tendencia y va aumentando hasta llegar a ser de alrededor de 0ºC en la estratopausa. Casi no hay movimiento en dirección vertical del aire, pero los vientos horizontales llegan a alcanzar frecuentemente los 200 km/h, lo que facilita el que cualquier sustancia que llega a la estratosfera se difunda por todo el globo con rapidez. Por ejemplo, esto es lo que ocurre con los CFC que destruyen el ozono. En esta parte de la atmósfera, entre los 30 y los 50 kilómetros, se encuentra el ozono, importante porque absorbe las dañinas radiaciones de onda corta.</w:t>
      </w:r>
    </w:p>
    <w:p w:rsidR="00917C66" w:rsidRPr="00917C66" w:rsidRDefault="00917C66" w:rsidP="00170107">
      <w:pPr>
        <w:shd w:val="clear" w:color="auto" w:fill="FFFFFF"/>
        <w:spacing w:before="100" w:beforeAutospacing="1" w:after="100" w:afterAutospacing="1" w:line="270" w:lineRule="atLeast"/>
        <w:jc w:val="both"/>
        <w:rPr>
          <w:rFonts w:ascii="Tahoma" w:eastAsia="Times New Roman" w:hAnsi="Tahoma" w:cs="Tahoma"/>
          <w:sz w:val="20"/>
          <w:szCs w:val="20"/>
          <w:lang w:val="es-ES" w:eastAsia="es-CL"/>
        </w:rPr>
      </w:pPr>
      <w:r w:rsidRPr="00917C66">
        <w:rPr>
          <w:rFonts w:ascii="Tahoma" w:eastAsia="Times New Roman" w:hAnsi="Tahoma" w:cs="Tahoma"/>
          <w:sz w:val="20"/>
          <w:szCs w:val="20"/>
          <w:lang w:val="es-ES" w:eastAsia="es-CL"/>
        </w:rPr>
        <w:t xml:space="preserve">La </w:t>
      </w:r>
      <w:r w:rsidRPr="00917C66">
        <w:rPr>
          <w:rFonts w:ascii="Tahoma" w:eastAsia="Times New Roman" w:hAnsi="Tahoma" w:cs="Tahoma"/>
          <w:b/>
          <w:bCs/>
          <w:sz w:val="20"/>
          <w:szCs w:val="20"/>
          <w:lang w:val="es-ES" w:eastAsia="es-CL"/>
        </w:rPr>
        <w:t>mesosfera</w:t>
      </w:r>
      <w:r w:rsidRPr="00917C66">
        <w:rPr>
          <w:rFonts w:ascii="Tahoma" w:eastAsia="Times New Roman" w:hAnsi="Tahoma" w:cs="Tahoma"/>
          <w:sz w:val="20"/>
          <w:szCs w:val="20"/>
          <w:lang w:val="es-ES" w:eastAsia="es-CL"/>
        </w:rPr>
        <w:t xml:space="preserve">, que se extiende entre los </w:t>
      </w:r>
      <w:r w:rsidRPr="00170107">
        <w:rPr>
          <w:rFonts w:ascii="Tahoma" w:eastAsia="Times New Roman" w:hAnsi="Tahoma" w:cs="Tahoma"/>
          <w:b/>
          <w:sz w:val="20"/>
          <w:szCs w:val="20"/>
          <w:lang w:val="es-ES" w:eastAsia="es-CL"/>
        </w:rPr>
        <w:t>50 y 80 km de altura</w:t>
      </w:r>
      <w:r w:rsidRPr="00917C66">
        <w:rPr>
          <w:rFonts w:ascii="Tahoma" w:eastAsia="Times New Roman" w:hAnsi="Tahoma" w:cs="Tahoma"/>
          <w:sz w:val="20"/>
          <w:szCs w:val="20"/>
          <w:lang w:val="es-ES" w:eastAsia="es-CL"/>
        </w:rPr>
        <w:t xml:space="preserve">, contiene sólo cerca del 0,1% de la masa total de </w:t>
      </w:r>
      <w:proofErr w:type="spellStart"/>
      <w:r w:rsidRPr="00917C66">
        <w:rPr>
          <w:rFonts w:ascii="Tahoma" w:eastAsia="Times New Roman" w:hAnsi="Tahoma" w:cs="Tahoma"/>
          <w:sz w:val="20"/>
          <w:szCs w:val="20"/>
          <w:lang w:val="es-ES" w:eastAsia="es-CL"/>
        </w:rPr>
        <w:t>laire</w:t>
      </w:r>
      <w:proofErr w:type="spellEnd"/>
      <w:r w:rsidRPr="00917C66">
        <w:rPr>
          <w:rFonts w:ascii="Tahoma" w:eastAsia="Times New Roman" w:hAnsi="Tahoma" w:cs="Tahoma"/>
          <w:sz w:val="20"/>
          <w:szCs w:val="20"/>
          <w:lang w:val="es-ES" w:eastAsia="es-CL"/>
        </w:rPr>
        <w:t xml:space="preserve">. Es importante por la ionización y las reacciones químicas que ocurren en ella. La disminución de la temperatura combinada con la baja densidad del aire en la mesosfera </w:t>
      </w:r>
      <w:proofErr w:type="gramStart"/>
      <w:r w:rsidRPr="00917C66">
        <w:rPr>
          <w:rFonts w:ascii="Tahoma" w:eastAsia="Times New Roman" w:hAnsi="Tahoma" w:cs="Tahoma"/>
          <w:sz w:val="20"/>
          <w:szCs w:val="20"/>
          <w:lang w:val="es-ES" w:eastAsia="es-CL"/>
        </w:rPr>
        <w:t>determinan</w:t>
      </w:r>
      <w:proofErr w:type="gramEnd"/>
      <w:r w:rsidRPr="00917C66">
        <w:rPr>
          <w:rFonts w:ascii="Tahoma" w:eastAsia="Times New Roman" w:hAnsi="Tahoma" w:cs="Tahoma"/>
          <w:sz w:val="20"/>
          <w:szCs w:val="20"/>
          <w:lang w:val="es-ES" w:eastAsia="es-CL"/>
        </w:rPr>
        <w:t xml:space="preserve"> la formación de turbulencias y ondas atmosféricas que actúan a escalas espaciales y temporales muy grandes. La mesosfera es la región donde las naves espaciales que vuelven a la Tierra empiezan a notar la estructura de los vientos de fondo, y no sólo el freno aerodinámico.</w:t>
      </w:r>
      <w:r w:rsidRPr="00917C66">
        <w:rPr>
          <w:rFonts w:ascii="Tahoma" w:eastAsia="Times New Roman" w:hAnsi="Tahoma" w:cs="Tahoma"/>
          <w:sz w:val="20"/>
          <w:szCs w:val="20"/>
          <w:lang w:val="es-ES" w:eastAsia="es-CL"/>
        </w:rPr>
        <w:br/>
      </w:r>
      <w:r w:rsidRPr="00917C66">
        <w:rPr>
          <w:rFonts w:ascii="Tahoma" w:eastAsia="Times New Roman" w:hAnsi="Tahoma" w:cs="Tahoma"/>
          <w:sz w:val="20"/>
          <w:szCs w:val="20"/>
          <w:lang w:val="es-ES" w:eastAsia="es-CL"/>
        </w:rPr>
        <w:br/>
        <w:t xml:space="preserve">La </w:t>
      </w:r>
      <w:r w:rsidRPr="00917C66">
        <w:rPr>
          <w:rFonts w:ascii="Tahoma" w:eastAsia="Times New Roman" w:hAnsi="Tahoma" w:cs="Tahoma"/>
          <w:b/>
          <w:bCs/>
          <w:sz w:val="20"/>
          <w:szCs w:val="20"/>
          <w:lang w:val="es-ES" w:eastAsia="es-CL"/>
        </w:rPr>
        <w:t>ionosfera</w:t>
      </w:r>
      <w:r w:rsidRPr="00917C66">
        <w:rPr>
          <w:rFonts w:ascii="Tahoma" w:eastAsia="Times New Roman" w:hAnsi="Tahoma" w:cs="Tahoma"/>
          <w:sz w:val="20"/>
          <w:szCs w:val="20"/>
          <w:lang w:val="es-ES" w:eastAsia="es-CL"/>
        </w:rPr>
        <w:t xml:space="preserve"> se extiende desde una altura de casi </w:t>
      </w:r>
      <w:bookmarkStart w:id="0" w:name="_GoBack"/>
      <w:r w:rsidRPr="00170107">
        <w:rPr>
          <w:rFonts w:ascii="Tahoma" w:eastAsia="Times New Roman" w:hAnsi="Tahoma" w:cs="Tahoma"/>
          <w:b/>
          <w:sz w:val="20"/>
          <w:szCs w:val="20"/>
          <w:lang w:val="es-ES" w:eastAsia="es-CL"/>
        </w:rPr>
        <w:t>80 km sobre la superficie terrestre hasta 640 km o más.</w:t>
      </w:r>
      <w:bookmarkEnd w:id="0"/>
      <w:r w:rsidRPr="00917C66">
        <w:rPr>
          <w:rFonts w:ascii="Tahoma" w:eastAsia="Times New Roman" w:hAnsi="Tahoma" w:cs="Tahoma"/>
          <w:sz w:val="20"/>
          <w:szCs w:val="20"/>
          <w:lang w:val="es-ES" w:eastAsia="es-CL"/>
        </w:rPr>
        <w:t xml:space="preserve"> A estas distancias, el aire está enrarecido en extremo. Cuando las partículas de la atmósfera experimentan una ionización por radiación ultravioleta, tienden a permanecer ionizadas debido a las mínimas colisiones que se producen entre los iones. La ionosfera tiene una gran influencia sobre la propagación de las señales de radio. Una parte de la energía radiada por un transmisor hacia la ionosfera es absorbida por el aire ionizado y otra es refractada, o desviada, de nuevo hacia la superficie de la Tierra. Este último efecto permite la recepción de señales de radio a distancias </w:t>
      </w:r>
      <w:proofErr w:type="gramStart"/>
      <w:r w:rsidRPr="00917C66">
        <w:rPr>
          <w:rFonts w:ascii="Tahoma" w:eastAsia="Times New Roman" w:hAnsi="Tahoma" w:cs="Tahoma"/>
          <w:sz w:val="20"/>
          <w:szCs w:val="20"/>
          <w:lang w:val="es-ES" w:eastAsia="es-CL"/>
        </w:rPr>
        <w:t>mucho</w:t>
      </w:r>
      <w:proofErr w:type="gramEnd"/>
      <w:r w:rsidRPr="00917C66">
        <w:rPr>
          <w:rFonts w:ascii="Tahoma" w:eastAsia="Times New Roman" w:hAnsi="Tahoma" w:cs="Tahoma"/>
          <w:sz w:val="20"/>
          <w:szCs w:val="20"/>
          <w:lang w:val="es-ES" w:eastAsia="es-CL"/>
        </w:rPr>
        <w:t xml:space="preserve"> mayores de lo que sería posible con ondas que viajan por la superficie terrestre.</w:t>
      </w:r>
      <w:r w:rsidRPr="00917C66">
        <w:rPr>
          <w:rFonts w:ascii="Tahoma" w:eastAsia="Times New Roman" w:hAnsi="Tahoma" w:cs="Tahoma"/>
          <w:sz w:val="20"/>
          <w:szCs w:val="20"/>
          <w:lang w:val="es-ES" w:eastAsia="es-CL"/>
        </w:rPr>
        <w:br/>
      </w:r>
      <w:r w:rsidRPr="00917C66">
        <w:rPr>
          <w:rFonts w:ascii="Tahoma" w:eastAsia="Times New Roman" w:hAnsi="Tahoma" w:cs="Tahoma"/>
          <w:sz w:val="20"/>
          <w:szCs w:val="20"/>
          <w:lang w:val="es-ES" w:eastAsia="es-CL"/>
        </w:rPr>
        <w:br/>
        <w:t xml:space="preserve">La región que hay más allá de la ionosfera recibe el nombre de </w:t>
      </w:r>
      <w:r w:rsidRPr="00917C66">
        <w:rPr>
          <w:rFonts w:ascii="Tahoma" w:eastAsia="Times New Roman" w:hAnsi="Tahoma" w:cs="Tahoma"/>
          <w:b/>
          <w:bCs/>
          <w:sz w:val="20"/>
          <w:szCs w:val="20"/>
          <w:lang w:val="es-ES" w:eastAsia="es-CL"/>
        </w:rPr>
        <w:t>exosfera</w:t>
      </w:r>
      <w:r w:rsidRPr="00917C66">
        <w:rPr>
          <w:rFonts w:ascii="Tahoma" w:eastAsia="Times New Roman" w:hAnsi="Tahoma" w:cs="Tahoma"/>
          <w:sz w:val="20"/>
          <w:szCs w:val="20"/>
          <w:lang w:val="es-ES" w:eastAsia="es-CL"/>
        </w:rPr>
        <w:t xml:space="preserve"> y se extiende hasta los 9.600 km, lo que constituye el límite exterior de la atmósfera. Más allá se extiende la </w:t>
      </w:r>
      <w:r w:rsidRPr="00917C66">
        <w:rPr>
          <w:rFonts w:ascii="Tahoma" w:eastAsia="Times New Roman" w:hAnsi="Tahoma" w:cs="Tahoma"/>
          <w:b/>
          <w:bCs/>
          <w:sz w:val="20"/>
          <w:szCs w:val="20"/>
          <w:lang w:val="es-ES" w:eastAsia="es-CL"/>
        </w:rPr>
        <w:t>magnetosfera</w:t>
      </w:r>
      <w:r w:rsidRPr="00917C66">
        <w:rPr>
          <w:rFonts w:ascii="Tahoma" w:eastAsia="Times New Roman" w:hAnsi="Tahoma" w:cs="Tahoma"/>
          <w:sz w:val="20"/>
          <w:szCs w:val="20"/>
          <w:lang w:val="es-ES" w:eastAsia="es-CL"/>
        </w:rPr>
        <w:t>, espacio situado alrededor de la Tierra en el cual, el campo magnético del planeta domina sobre el campo magnético del medio interplanetario.</w:t>
      </w:r>
    </w:p>
    <w:tbl>
      <w:tblPr>
        <w:tblW w:w="0" w:type="auto"/>
        <w:tblCellMar>
          <w:top w:w="15" w:type="dxa"/>
          <w:left w:w="15" w:type="dxa"/>
          <w:bottom w:w="15" w:type="dxa"/>
          <w:right w:w="15" w:type="dxa"/>
        </w:tblCellMar>
        <w:tblLook w:val="04A0" w:firstRow="1" w:lastRow="0" w:firstColumn="1" w:lastColumn="0" w:noHBand="0" w:noVBand="1"/>
      </w:tblPr>
      <w:tblGrid>
        <w:gridCol w:w="1010"/>
        <w:gridCol w:w="1261"/>
        <w:gridCol w:w="886"/>
        <w:gridCol w:w="1703"/>
      </w:tblGrid>
      <w:tr w:rsidR="00917C66" w:rsidRPr="00917C66" w:rsidTr="00917C66">
        <w:tc>
          <w:tcPr>
            <w:tcW w:w="0" w:type="auto"/>
            <w:shd w:val="clear" w:color="auto" w:fill="F0E2D4"/>
            <w:tcMar>
              <w:top w:w="0" w:type="dxa"/>
              <w:left w:w="0" w:type="dxa"/>
              <w:bottom w:w="0" w:type="dxa"/>
              <w:right w:w="0" w:type="dxa"/>
            </w:tcMar>
            <w:vAlign w:val="bottom"/>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b/>
                <w:bCs/>
                <w:sz w:val="17"/>
                <w:szCs w:val="17"/>
                <w:lang w:eastAsia="es-CL"/>
              </w:rPr>
              <w:t>Altura (m)</w:t>
            </w:r>
          </w:p>
        </w:tc>
        <w:tc>
          <w:tcPr>
            <w:tcW w:w="0" w:type="auto"/>
            <w:shd w:val="clear" w:color="auto" w:fill="D6E2F0"/>
            <w:tcMar>
              <w:top w:w="0" w:type="dxa"/>
              <w:left w:w="0" w:type="dxa"/>
              <w:bottom w:w="0" w:type="dxa"/>
              <w:right w:w="0" w:type="dxa"/>
            </w:tcMar>
            <w:vAlign w:val="bottom"/>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b/>
                <w:bCs/>
                <w:sz w:val="17"/>
                <w:szCs w:val="17"/>
                <w:lang w:eastAsia="es-CL"/>
              </w:rPr>
              <w:t>Presión (</w:t>
            </w:r>
            <w:proofErr w:type="spellStart"/>
            <w:r w:rsidRPr="00917C66">
              <w:rPr>
                <w:rFonts w:ascii="Verdana" w:eastAsia="Times New Roman" w:hAnsi="Verdana" w:cs="Tahoma"/>
                <w:b/>
                <w:bCs/>
                <w:sz w:val="17"/>
                <w:szCs w:val="17"/>
                <w:lang w:eastAsia="es-CL"/>
              </w:rPr>
              <w:t>mb</w:t>
            </w:r>
            <w:proofErr w:type="spellEnd"/>
            <w:r w:rsidRPr="00917C66">
              <w:rPr>
                <w:rFonts w:ascii="Verdana" w:eastAsia="Times New Roman" w:hAnsi="Verdana" w:cs="Tahoma"/>
                <w:b/>
                <w:bCs/>
                <w:sz w:val="17"/>
                <w:szCs w:val="17"/>
                <w:lang w:eastAsia="es-CL"/>
              </w:rPr>
              <w:t>)</w:t>
            </w:r>
          </w:p>
        </w:tc>
        <w:tc>
          <w:tcPr>
            <w:tcW w:w="0" w:type="auto"/>
            <w:shd w:val="clear" w:color="auto" w:fill="E0EAD0"/>
            <w:tcMar>
              <w:top w:w="0" w:type="dxa"/>
              <w:left w:w="0" w:type="dxa"/>
              <w:bottom w:w="0" w:type="dxa"/>
              <w:right w:w="0" w:type="dxa"/>
            </w:tcMar>
            <w:vAlign w:val="bottom"/>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b/>
                <w:bCs/>
                <w:sz w:val="17"/>
                <w:szCs w:val="17"/>
                <w:lang w:eastAsia="es-CL"/>
              </w:rPr>
              <w:t>Densidad</w:t>
            </w:r>
          </w:p>
        </w:tc>
        <w:tc>
          <w:tcPr>
            <w:tcW w:w="0" w:type="auto"/>
            <w:shd w:val="clear" w:color="auto" w:fill="E8D4E0"/>
            <w:tcMar>
              <w:top w:w="0" w:type="dxa"/>
              <w:left w:w="0" w:type="dxa"/>
              <w:bottom w:w="0" w:type="dxa"/>
              <w:right w:w="0" w:type="dxa"/>
            </w:tcMar>
            <w:vAlign w:val="bottom"/>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b/>
                <w:bCs/>
                <w:sz w:val="17"/>
                <w:szCs w:val="17"/>
                <w:lang w:eastAsia="es-CL"/>
              </w:rPr>
              <w:t>Temperatura (</w:t>
            </w:r>
            <w:proofErr w:type="spellStart"/>
            <w:r w:rsidRPr="00917C66">
              <w:rPr>
                <w:rFonts w:ascii="Verdana" w:eastAsia="Times New Roman" w:hAnsi="Verdana" w:cs="Tahoma"/>
                <w:b/>
                <w:bCs/>
                <w:sz w:val="17"/>
                <w:szCs w:val="17"/>
                <w:lang w:eastAsia="es-CL"/>
              </w:rPr>
              <w:t>ºC</w:t>
            </w:r>
            <w:proofErr w:type="spellEnd"/>
            <w:r w:rsidRPr="00917C66">
              <w:rPr>
                <w:rFonts w:ascii="Verdana" w:eastAsia="Times New Roman" w:hAnsi="Verdana" w:cs="Tahoma"/>
                <w:b/>
                <w:bCs/>
                <w:sz w:val="17"/>
                <w:szCs w:val="17"/>
                <w:lang w:eastAsia="es-CL"/>
              </w:rPr>
              <w:t>)</w:t>
            </w:r>
          </w:p>
        </w:tc>
      </w:tr>
      <w:tr w:rsidR="00917C66" w:rsidRPr="00917C66" w:rsidTr="00917C66">
        <w:tc>
          <w:tcPr>
            <w:tcW w:w="0" w:type="auto"/>
            <w:shd w:val="clear" w:color="auto" w:fill="FFFC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0</w:t>
            </w:r>
          </w:p>
        </w:tc>
        <w:tc>
          <w:tcPr>
            <w:tcW w:w="0" w:type="auto"/>
            <w:shd w:val="clear" w:color="auto" w:fill="F2FAFF"/>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1013</w:t>
            </w:r>
          </w:p>
        </w:tc>
        <w:tc>
          <w:tcPr>
            <w:tcW w:w="0" w:type="auto"/>
            <w:shd w:val="clear" w:color="auto" w:fill="FAFE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1,226</w:t>
            </w:r>
          </w:p>
        </w:tc>
        <w:tc>
          <w:tcPr>
            <w:tcW w:w="0" w:type="auto"/>
            <w:shd w:val="clear" w:color="auto" w:fill="FFF2F8"/>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15</w:t>
            </w:r>
          </w:p>
        </w:tc>
      </w:tr>
      <w:tr w:rsidR="00917C66" w:rsidRPr="00917C66" w:rsidTr="00917C66">
        <w:tc>
          <w:tcPr>
            <w:tcW w:w="0" w:type="auto"/>
            <w:shd w:val="clear" w:color="auto" w:fill="FFF4E8"/>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1.000</w:t>
            </w:r>
          </w:p>
        </w:tc>
        <w:tc>
          <w:tcPr>
            <w:tcW w:w="0" w:type="auto"/>
            <w:shd w:val="clear" w:color="auto" w:fill="E8F4FF"/>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898,6</w:t>
            </w:r>
          </w:p>
        </w:tc>
        <w:tc>
          <w:tcPr>
            <w:tcW w:w="0" w:type="auto"/>
            <w:shd w:val="clear" w:color="auto" w:fill="F2F8E4"/>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1,112</w:t>
            </w:r>
          </w:p>
        </w:tc>
        <w:tc>
          <w:tcPr>
            <w:tcW w:w="0" w:type="auto"/>
            <w:shd w:val="clear" w:color="auto" w:fill="FAEA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8,5</w:t>
            </w:r>
          </w:p>
        </w:tc>
      </w:tr>
      <w:tr w:rsidR="00917C66" w:rsidRPr="00917C66" w:rsidTr="00917C66">
        <w:tc>
          <w:tcPr>
            <w:tcW w:w="0" w:type="auto"/>
            <w:shd w:val="clear" w:color="auto" w:fill="FFFC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2.000</w:t>
            </w:r>
          </w:p>
        </w:tc>
        <w:tc>
          <w:tcPr>
            <w:tcW w:w="0" w:type="auto"/>
            <w:shd w:val="clear" w:color="auto" w:fill="F2FAFF"/>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794,8</w:t>
            </w:r>
          </w:p>
        </w:tc>
        <w:tc>
          <w:tcPr>
            <w:tcW w:w="0" w:type="auto"/>
            <w:shd w:val="clear" w:color="auto" w:fill="FAFE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1,007</w:t>
            </w:r>
          </w:p>
        </w:tc>
        <w:tc>
          <w:tcPr>
            <w:tcW w:w="0" w:type="auto"/>
            <w:shd w:val="clear" w:color="auto" w:fill="FFF2F8"/>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2</w:t>
            </w:r>
          </w:p>
        </w:tc>
      </w:tr>
      <w:tr w:rsidR="00917C66" w:rsidRPr="00917C66" w:rsidTr="00917C66">
        <w:tc>
          <w:tcPr>
            <w:tcW w:w="0" w:type="auto"/>
            <w:shd w:val="clear" w:color="auto" w:fill="FFF4E8"/>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3.000</w:t>
            </w:r>
          </w:p>
        </w:tc>
        <w:tc>
          <w:tcPr>
            <w:tcW w:w="0" w:type="auto"/>
            <w:shd w:val="clear" w:color="auto" w:fill="E8F4FF"/>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700,9</w:t>
            </w:r>
          </w:p>
        </w:tc>
        <w:tc>
          <w:tcPr>
            <w:tcW w:w="0" w:type="auto"/>
            <w:shd w:val="clear" w:color="auto" w:fill="F2F8E4"/>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0,910</w:t>
            </w:r>
          </w:p>
        </w:tc>
        <w:tc>
          <w:tcPr>
            <w:tcW w:w="0" w:type="auto"/>
            <w:shd w:val="clear" w:color="auto" w:fill="FAEA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-4,5</w:t>
            </w:r>
          </w:p>
        </w:tc>
      </w:tr>
      <w:tr w:rsidR="00917C66" w:rsidRPr="00917C66" w:rsidTr="00917C66">
        <w:tc>
          <w:tcPr>
            <w:tcW w:w="0" w:type="auto"/>
            <w:shd w:val="clear" w:color="auto" w:fill="FFFC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4.000</w:t>
            </w:r>
          </w:p>
        </w:tc>
        <w:tc>
          <w:tcPr>
            <w:tcW w:w="0" w:type="auto"/>
            <w:shd w:val="clear" w:color="auto" w:fill="F2FAFF"/>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616,2</w:t>
            </w:r>
          </w:p>
        </w:tc>
        <w:tc>
          <w:tcPr>
            <w:tcW w:w="0" w:type="auto"/>
            <w:shd w:val="clear" w:color="auto" w:fill="FAFE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0,820</w:t>
            </w:r>
          </w:p>
        </w:tc>
        <w:tc>
          <w:tcPr>
            <w:tcW w:w="0" w:type="auto"/>
            <w:shd w:val="clear" w:color="auto" w:fill="FFF2F8"/>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-11</w:t>
            </w:r>
          </w:p>
        </w:tc>
      </w:tr>
      <w:tr w:rsidR="00917C66" w:rsidRPr="00917C66" w:rsidTr="00917C66">
        <w:tc>
          <w:tcPr>
            <w:tcW w:w="0" w:type="auto"/>
            <w:shd w:val="clear" w:color="auto" w:fill="FFF4E8"/>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5.000</w:t>
            </w:r>
          </w:p>
        </w:tc>
        <w:tc>
          <w:tcPr>
            <w:tcW w:w="0" w:type="auto"/>
            <w:shd w:val="clear" w:color="auto" w:fill="E8F4FF"/>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540</w:t>
            </w:r>
          </w:p>
        </w:tc>
        <w:tc>
          <w:tcPr>
            <w:tcW w:w="0" w:type="auto"/>
            <w:shd w:val="clear" w:color="auto" w:fill="F2F8E4"/>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0,736</w:t>
            </w:r>
          </w:p>
        </w:tc>
        <w:tc>
          <w:tcPr>
            <w:tcW w:w="0" w:type="auto"/>
            <w:shd w:val="clear" w:color="auto" w:fill="FAEA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-17,5</w:t>
            </w:r>
          </w:p>
        </w:tc>
      </w:tr>
      <w:tr w:rsidR="00917C66" w:rsidRPr="00917C66" w:rsidTr="00917C66">
        <w:tc>
          <w:tcPr>
            <w:tcW w:w="0" w:type="auto"/>
            <w:shd w:val="clear" w:color="auto" w:fill="FFFC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10.000</w:t>
            </w:r>
          </w:p>
        </w:tc>
        <w:tc>
          <w:tcPr>
            <w:tcW w:w="0" w:type="auto"/>
            <w:shd w:val="clear" w:color="auto" w:fill="F2FAFF"/>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264,1</w:t>
            </w:r>
          </w:p>
        </w:tc>
        <w:tc>
          <w:tcPr>
            <w:tcW w:w="0" w:type="auto"/>
            <w:shd w:val="clear" w:color="auto" w:fill="FAFE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0,413</w:t>
            </w:r>
          </w:p>
        </w:tc>
        <w:tc>
          <w:tcPr>
            <w:tcW w:w="0" w:type="auto"/>
            <w:shd w:val="clear" w:color="auto" w:fill="FFF2F8"/>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-50</w:t>
            </w:r>
          </w:p>
        </w:tc>
      </w:tr>
      <w:tr w:rsidR="00917C66" w:rsidRPr="00917C66" w:rsidTr="00917C66">
        <w:tc>
          <w:tcPr>
            <w:tcW w:w="0" w:type="auto"/>
            <w:shd w:val="clear" w:color="auto" w:fill="FFF4E8"/>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15.000</w:t>
            </w:r>
          </w:p>
        </w:tc>
        <w:tc>
          <w:tcPr>
            <w:tcW w:w="0" w:type="auto"/>
            <w:shd w:val="clear" w:color="auto" w:fill="E8F4FF"/>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120,3</w:t>
            </w:r>
          </w:p>
        </w:tc>
        <w:tc>
          <w:tcPr>
            <w:tcW w:w="0" w:type="auto"/>
            <w:shd w:val="clear" w:color="auto" w:fill="F2F8E4"/>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0,194</w:t>
            </w:r>
          </w:p>
        </w:tc>
        <w:tc>
          <w:tcPr>
            <w:tcW w:w="0" w:type="auto"/>
            <w:shd w:val="clear" w:color="auto" w:fill="FAEAF0"/>
            <w:tcMar>
              <w:top w:w="0" w:type="dxa"/>
              <w:left w:w="0" w:type="dxa"/>
              <w:bottom w:w="0" w:type="dxa"/>
              <w:right w:w="0" w:type="dxa"/>
            </w:tcMar>
            <w:vAlign w:val="center"/>
            <w:hideMark/>
          </w:tcPr>
          <w:p w:rsidR="00917C66" w:rsidRPr="00917C66" w:rsidRDefault="00917C66" w:rsidP="00917C66">
            <w:pPr>
              <w:spacing w:after="0" w:line="240" w:lineRule="auto"/>
              <w:jc w:val="center"/>
              <w:rPr>
                <w:rFonts w:ascii="Verdana" w:eastAsia="Times New Roman" w:hAnsi="Verdana" w:cs="Tahoma"/>
                <w:sz w:val="17"/>
                <w:szCs w:val="17"/>
                <w:lang w:eastAsia="es-CL"/>
              </w:rPr>
            </w:pPr>
            <w:r w:rsidRPr="00917C66">
              <w:rPr>
                <w:rFonts w:ascii="Verdana" w:eastAsia="Times New Roman" w:hAnsi="Verdana" w:cs="Tahoma"/>
                <w:sz w:val="17"/>
                <w:szCs w:val="17"/>
                <w:lang w:eastAsia="es-CL"/>
              </w:rPr>
              <w:t>-56,5</w:t>
            </w:r>
          </w:p>
        </w:tc>
      </w:tr>
    </w:tbl>
    <w:p w:rsidR="00FC31A9" w:rsidRDefault="00FC31A9"/>
    <w:sectPr w:rsidR="00FC31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66"/>
    <w:rsid w:val="00170107"/>
    <w:rsid w:val="00917C66"/>
    <w:rsid w:val="00FC31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7C66"/>
    <w:pPr>
      <w:spacing w:before="100" w:beforeAutospacing="1" w:after="100" w:afterAutospacing="1" w:line="270" w:lineRule="atLeast"/>
      <w:jc w:val="both"/>
    </w:pPr>
    <w:rPr>
      <w:rFonts w:ascii="Tahoma" w:eastAsia="Times New Roman" w:hAnsi="Tahoma" w:cs="Tahoma"/>
      <w:sz w:val="20"/>
      <w:szCs w:val="20"/>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7C66"/>
    <w:pPr>
      <w:spacing w:before="100" w:beforeAutospacing="1" w:after="100" w:afterAutospacing="1" w:line="270" w:lineRule="atLeast"/>
      <w:jc w:val="both"/>
    </w:pPr>
    <w:rPr>
      <w:rFonts w:ascii="Tahoma" w:eastAsia="Times New Roman" w:hAnsi="Tahoma" w:cs="Tahoma"/>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082980">
      <w:bodyDiv w:val="1"/>
      <w:marLeft w:val="0"/>
      <w:marRight w:val="0"/>
      <w:marTop w:val="0"/>
      <w:marBottom w:val="180"/>
      <w:divBdr>
        <w:top w:val="none" w:sz="0" w:space="0" w:color="auto"/>
        <w:left w:val="none" w:sz="0" w:space="0" w:color="auto"/>
        <w:bottom w:val="none" w:sz="0" w:space="0" w:color="auto"/>
        <w:right w:val="none" w:sz="0" w:space="0" w:color="auto"/>
      </w:divBdr>
      <w:divsChild>
        <w:div w:id="1837263786">
          <w:marLeft w:val="0"/>
          <w:marRight w:val="0"/>
          <w:marTop w:val="0"/>
          <w:marBottom w:val="0"/>
          <w:divBdr>
            <w:top w:val="single" w:sz="6" w:space="0" w:color="BBBBBB"/>
            <w:left w:val="single" w:sz="6" w:space="0" w:color="BBBBBB"/>
            <w:bottom w:val="single" w:sz="6" w:space="0" w:color="BBBBBB"/>
            <w:right w:val="single" w:sz="6" w:space="0" w:color="BBBBBB"/>
          </w:divBdr>
          <w:divsChild>
            <w:div w:id="1052191703">
              <w:marLeft w:val="0"/>
              <w:marRight w:val="0"/>
              <w:marTop w:val="0"/>
              <w:marBottom w:val="0"/>
              <w:divBdr>
                <w:top w:val="none" w:sz="0" w:space="0" w:color="auto"/>
                <w:left w:val="none" w:sz="0" w:space="0" w:color="auto"/>
                <w:bottom w:val="none" w:sz="0" w:space="0" w:color="auto"/>
                <w:right w:val="none" w:sz="0" w:space="0" w:color="auto"/>
              </w:divBdr>
              <w:divsChild>
                <w:div w:id="1750536385">
                  <w:marLeft w:val="342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Araya Esteban (Codelco-Andina)</dc:creator>
  <cp:lastModifiedBy>Lopez Araya Esteban (Codelco-Andina)</cp:lastModifiedBy>
  <cp:revision>3</cp:revision>
  <cp:lastPrinted>2015-06-05T14:03:00Z</cp:lastPrinted>
  <dcterms:created xsi:type="dcterms:W3CDTF">2013-04-28T23:59:00Z</dcterms:created>
  <dcterms:modified xsi:type="dcterms:W3CDTF">2015-06-05T14:17:00Z</dcterms:modified>
</cp:coreProperties>
</file>